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76" w:rsidRDefault="00863BA2" w:rsidP="00863BA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63BA2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แบบทดสอบปลายภาคเรียน</w:t>
      </w: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1. เนื้อเพลงรำแม่บทเล็กใช้ทำนองเพลงใด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ทำนองเพลงสีนวล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DD62F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ข.  ทำนองเพลงชมตลาด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 xml:space="preserve">ค.  ทำนองเพลงแขกเชิญเจ้า   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ทำนองเพลงแขกต่อยหม้อ</w:t>
      </w:r>
      <w:r w:rsidRPr="0026343C">
        <w:rPr>
          <w:rFonts w:asciiTheme="majorBidi" w:hAnsiTheme="majorBidi" w:cstheme="majorBidi"/>
          <w:sz w:val="32"/>
          <w:szCs w:val="32"/>
        </w:rPr>
        <w:t xml:space="preserve"> 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>2.</w:t>
      </w:r>
      <w:r w:rsidRPr="0026343C">
        <w:rPr>
          <w:rFonts w:asciiTheme="majorBidi" w:hAnsiTheme="majorBidi" w:cstheme="majorBidi"/>
          <w:sz w:val="32"/>
          <w:szCs w:val="32"/>
          <w:cs/>
        </w:rPr>
        <w:t xml:space="preserve"> การแต่งกายรำแม่บทเล็ก คือข้อใด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การแต่งกายแบบฤๅษี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การแต่งกายแบบพื้นเมือง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ค.</w:t>
      </w:r>
      <w:r w:rsidRPr="00DD62F4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 xml:space="preserve"> การแต่งกายยืนเครื่องพระ-นาง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</w:rPr>
        <w:t xml:space="preserve"> </w:t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ถูกทุกข้อ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 xml:space="preserve">3. ตัวละครใดไม่มี </w:t>
      </w:r>
      <w:r w:rsidRPr="0026343C">
        <w:rPr>
          <w:rFonts w:asciiTheme="majorBidi" w:hAnsiTheme="majorBidi" w:cstheme="majorBidi"/>
          <w:sz w:val="32"/>
          <w:szCs w:val="32"/>
        </w:rPr>
        <w:t>“</w:t>
      </w:r>
      <w:r w:rsidRPr="0026343C">
        <w:rPr>
          <w:rFonts w:asciiTheme="majorBidi" w:hAnsiTheme="majorBidi" w:cstheme="majorBidi"/>
          <w:sz w:val="32"/>
          <w:szCs w:val="32"/>
          <w:cs/>
        </w:rPr>
        <w:t>อินทรธนู</w:t>
      </w:r>
      <w:r w:rsidRPr="0026343C">
        <w:rPr>
          <w:rFonts w:asciiTheme="majorBidi" w:hAnsiTheme="majorBidi" w:cstheme="majorBidi"/>
          <w:sz w:val="32"/>
          <w:szCs w:val="32"/>
        </w:rPr>
        <w:t>”</w:t>
      </w:r>
      <w:r w:rsidRPr="0026343C">
        <w:rPr>
          <w:rFonts w:asciiTheme="majorBidi" w:hAnsiTheme="majorBidi" w:cstheme="majorBidi"/>
          <w:sz w:val="32"/>
          <w:szCs w:val="32"/>
          <w:cs/>
        </w:rPr>
        <w:t xml:space="preserve"> เป็นเครื่องประดับ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ตัวลิง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ตัวนาง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ค.  ตัวพระ</w:t>
      </w: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ตัวยักษ์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4. ข้อใดคือรูปแบบของนาฏศิลป์มาตรฐาน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ก.  นิยมแต่งกายแบบยืนเครื่อง  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นิยมใส่เครื่องประดับครบชุด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เหมาะสมแก่การแสดงในงานรื่นเริง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มีการร่ายรำที่งดงามและพร้อมเพรียง</w:t>
      </w: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5. ข้อใดไม่ใช่ท่ารำที่ใช้ในการรำแม่บทเล็ก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ท่านภาพร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 xml:space="preserve">ข.  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ท่าฤ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ทธิรงค์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ค.  ท่าขัดจางนาง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ท่าช้านางนอน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6. รำแม่บทเล็ก มักใช้แสดงในโอกาสใด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ก.  ใช้ประกอบการแสดงโขน  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งานพระราชพิธีต่างๆ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งานวันสำคัญทางศาสนา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งานอวยพรและงานรื่นเริงต่างๆ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 xml:space="preserve">7. 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นน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ทุก ในบทโขนเรื่องรามเกียรติ์ มีหน้าที่ทำอะไร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ยามเฝ้าประตู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เป็นเทวดาองค์หนึ่ง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ร่ายรำถวายเทวดานางฟ้า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DD62F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ง.  ตักน้ำล้างเท้าเทวดานางฟ้า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8. เครื่องแต่งกายใดที่มีเฉพาะตัวนางทั้งหมด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ก.  สะอิ้ง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ชายไหว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อินทรธนู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26343C">
        <w:rPr>
          <w:rFonts w:asciiTheme="majorBidi" w:hAnsiTheme="majorBidi" w:cstheme="majorBidi"/>
          <w:sz w:val="32"/>
          <w:szCs w:val="32"/>
        </w:rPr>
        <w:t xml:space="preserve"> </w:t>
      </w:r>
      <w:r w:rsidRPr="0026343C">
        <w:rPr>
          <w:rFonts w:asciiTheme="majorBidi" w:hAnsiTheme="majorBidi" w:cstheme="majorBidi"/>
          <w:sz w:val="32"/>
          <w:szCs w:val="32"/>
          <w:cs/>
        </w:rPr>
        <w:t>สนับเพลา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9. การรำแม่บทเล็กนำมาจากบทละครเรื่องใด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สังข์ทอง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DD62F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DD62F4">
        <w:rPr>
          <w:rFonts w:asciiTheme="majorBidi" w:hAnsiTheme="majorBidi" w:cstheme="majorBidi"/>
          <w:color w:val="FF0000"/>
          <w:sz w:val="32"/>
          <w:szCs w:val="32"/>
          <w:cs/>
        </w:rPr>
        <w:t>ข.  รามเกียรติ์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สังข์ศิลป์ชัย</w:t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  <w:r w:rsidRPr="0026343C">
        <w:rPr>
          <w:rFonts w:asciiTheme="majorBidi" w:hAnsiTheme="majorBidi" w:cstheme="majorBidi"/>
          <w:sz w:val="32"/>
          <w:szCs w:val="32"/>
          <w:cs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ขุนช้าง ขุนแผน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10. นักเรียนสามารถมีส่วนร่วมในการอนุรักษ์นาฏศิลป์ได้อย่างไร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ฝึกทักษะทางนาฏศิลป์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ชมการแสดงนาฏศิลป์ทุกครั้งเมื่อมีโอกาส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ศึกษาประวัติความเป็นมาของนาฏศิลป์ไทย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lastRenderedPageBreak/>
        <w:t>ง.  ถูกทุกข้อ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11. </w:t>
      </w:r>
      <w:r w:rsidRPr="0026343C">
        <w:rPr>
          <w:rFonts w:asciiTheme="majorBidi" w:hAnsiTheme="majorBidi" w:cstheme="majorBidi"/>
          <w:sz w:val="32"/>
          <w:szCs w:val="32"/>
          <w:cs/>
        </w:rPr>
        <w:t>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เป็นการแสดงให้เห็นวิถีชีวิตในเรื่องใด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ความเชื่อทางเวทย์มนต์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ความเชื่อทาศาสนา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ค.  วิถีชีวิตความเป็นอยู่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513084">
        <w:rPr>
          <w:rFonts w:asciiTheme="majorBidi" w:hAnsiTheme="majorBidi" w:cstheme="majorBidi"/>
          <w:sz w:val="32"/>
          <w:szCs w:val="32"/>
          <w:cs/>
        </w:rPr>
        <w:t>ง.  การประกอบอาชีพของชาวบ้าน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12. </w:t>
      </w:r>
      <w:r w:rsidRPr="0026343C">
        <w:rPr>
          <w:rFonts w:asciiTheme="majorBidi" w:hAnsiTheme="majorBidi" w:cstheme="majorBidi"/>
          <w:sz w:val="32"/>
          <w:szCs w:val="32"/>
          <w:cs/>
        </w:rPr>
        <w:t>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เป็นการแสดงของชาวจังหวัดใด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ก.  สกลนคร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ขอนแก่น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บุรีรัมย์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นครพนม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13. </w:t>
      </w:r>
      <w:r w:rsidRPr="0026343C">
        <w:rPr>
          <w:rFonts w:asciiTheme="majorBidi" w:hAnsiTheme="majorBidi" w:cstheme="majorBidi"/>
          <w:sz w:val="32"/>
          <w:szCs w:val="32"/>
          <w:cs/>
        </w:rPr>
        <w:t>ชาวไทยกลุ่มใดเป็นผู้คิดท่ารำเซิ้ง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ไทยภูเขา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ข.  ชาวภูไท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ชาวไทยเผ่าอีก้อ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ชาวไทยเผ่าลื้อ</w:t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14. </w:t>
      </w:r>
      <w:r w:rsidRPr="0026343C">
        <w:rPr>
          <w:rFonts w:asciiTheme="majorBidi" w:hAnsiTheme="majorBidi" w:cstheme="majorBidi"/>
          <w:sz w:val="32"/>
          <w:szCs w:val="32"/>
          <w:cs/>
        </w:rPr>
        <w:t>การแต่งกายในการเซิ้ง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กระติ๊บคือ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ข้อใด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ใส่เสื้อแขนสามส่วน นุ่งผ้าซิ่นคลุมเข่า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ใส่เครื่องประดับเงินเกล้าผมสูง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ห่มผ้าสไบ สะพาย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ข้าวเหนียว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ง.  ถูกทุกข้อ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</w:rPr>
        <w:t>15.</w:t>
      </w:r>
      <w:r w:rsidRPr="0026343C">
        <w:rPr>
          <w:rFonts w:asciiTheme="majorBidi" w:hAnsiTheme="majorBidi" w:cstheme="majorBidi"/>
          <w:sz w:val="32"/>
          <w:szCs w:val="32"/>
          <w:cs/>
        </w:rPr>
        <w:t>โอกาสที่นิยมเสดงการรำเซิ้ง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กระติ๊บคือ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ข้อใด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lastRenderedPageBreak/>
        <w:t>ก.  งานพระราชพิธี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งานอวมงคล</w:t>
      </w:r>
    </w:p>
    <w:p w:rsidR="00863BA2" w:rsidRPr="00513084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ค.  งานรื่นเริงทั่วไป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งานทำบุญขึ้นบ้านใหม่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16. </w:t>
      </w:r>
      <w:r w:rsidRPr="0026343C">
        <w:rPr>
          <w:rFonts w:asciiTheme="majorBidi" w:hAnsiTheme="majorBidi" w:cstheme="majorBidi"/>
          <w:sz w:val="32"/>
          <w:szCs w:val="32"/>
          <w:cs/>
        </w:rPr>
        <w:t>เครื่องดนตรีที่ใช้เป็นหลักในการเซิ้ง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</w:rPr>
        <w:t xml:space="preserve"> </w:t>
      </w:r>
      <w:r w:rsidRPr="0026343C">
        <w:rPr>
          <w:rFonts w:asciiTheme="majorBidi" w:hAnsiTheme="majorBidi" w:cstheme="majorBidi"/>
          <w:sz w:val="32"/>
          <w:szCs w:val="32"/>
          <w:cs/>
        </w:rPr>
        <w:t>คือข้อใด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ก.  กลองเถิดเทิง-แคน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แคน-โหวด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แคน-เปิงมาง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โปงลาง-โหวด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>17.</w:t>
      </w:r>
      <w:r w:rsidRPr="0026343C">
        <w:rPr>
          <w:rFonts w:asciiTheme="majorBidi" w:hAnsiTheme="majorBidi" w:cstheme="majorBidi"/>
          <w:sz w:val="32"/>
          <w:szCs w:val="32"/>
          <w:cs/>
        </w:rPr>
        <w:t>ใครเป็นผู้นำการแสดงเซิ้ง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เข้ามาเผยแพร่ในกรุงเทพ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อธิบดีกรมศิลปากร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ข.  ศิลปินกรมศิลปากร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กรมสามัญสามัญศึกษา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กรมการศึกษานอกโรงเรียน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 xml:space="preserve">18. </w:t>
      </w:r>
      <w:r w:rsidRPr="0026343C">
        <w:rPr>
          <w:rFonts w:asciiTheme="majorBidi" w:hAnsiTheme="majorBidi" w:cstheme="majorBidi"/>
          <w:sz w:val="32"/>
          <w:szCs w:val="32"/>
          <w:cs/>
        </w:rPr>
        <w:t>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กระติ๊บแส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ดงกรุงเทพครั้งแรกที่ใด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ก.  โรงละครแห่งชาติ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ทำเนียบรัฐบาล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ศูนย์วัฒนธรรมแห่งประเทศไทย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ศูนย์สังคีตธนาคารกรุงเทพ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t>19.</w:t>
      </w:r>
      <w:r w:rsidRPr="0026343C">
        <w:rPr>
          <w:rFonts w:asciiTheme="majorBidi" w:hAnsiTheme="majorBidi" w:cstheme="majorBidi"/>
          <w:sz w:val="32"/>
          <w:szCs w:val="32"/>
          <w:cs/>
        </w:rPr>
        <w:t>จังหวะการเดินของเซิ้ง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 xml:space="preserve">ข้าว 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ปฎิบัติ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อย่างไร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เดินด้วยส้นเท้า</w:t>
      </w:r>
    </w:p>
    <w:p w:rsidR="00863BA2" w:rsidRPr="00513084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ข.  เดินเขย่งด้วยปลายเท้า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เดินเต็มเท้า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ง.  เดินด้วยจมูกเท้า</w:t>
      </w:r>
    </w:p>
    <w:p w:rsidR="00863BA2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63BA2" w:rsidRPr="0026343C" w:rsidRDefault="00863BA2" w:rsidP="00863BA2">
      <w:pPr>
        <w:spacing w:after="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</w:rPr>
        <w:lastRenderedPageBreak/>
        <w:t xml:space="preserve">20. </w:t>
      </w:r>
      <w:r w:rsidRPr="0026343C">
        <w:rPr>
          <w:rFonts w:asciiTheme="majorBidi" w:hAnsiTheme="majorBidi" w:cstheme="majorBidi"/>
          <w:sz w:val="32"/>
          <w:szCs w:val="32"/>
          <w:cs/>
        </w:rPr>
        <w:t>ข้อใดไม่ใช่ท่ารำของเซิ้ง</w:t>
      </w:r>
      <w:proofErr w:type="spellStart"/>
      <w:r w:rsidRPr="0026343C">
        <w:rPr>
          <w:rFonts w:asciiTheme="majorBidi" w:hAnsiTheme="majorBidi" w:cstheme="majorBidi"/>
          <w:sz w:val="32"/>
          <w:szCs w:val="32"/>
          <w:cs/>
        </w:rPr>
        <w:t>กระติ๊บ</w:t>
      </w:r>
      <w:proofErr w:type="spellEnd"/>
      <w:r w:rsidRPr="0026343C">
        <w:rPr>
          <w:rFonts w:asciiTheme="majorBidi" w:hAnsiTheme="majorBidi" w:cstheme="majorBidi"/>
          <w:sz w:val="32"/>
          <w:szCs w:val="32"/>
          <w:cs/>
        </w:rPr>
        <w:t>ข้าว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ก.  ท่าปั้นข้าว</w:t>
      </w:r>
    </w:p>
    <w:p w:rsidR="00863BA2" w:rsidRPr="0026343C" w:rsidRDefault="00863BA2" w:rsidP="00863BA2">
      <w:pPr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ข.  ท่าล้างมือ</w:t>
      </w:r>
    </w:p>
    <w:p w:rsidR="00863BA2" w:rsidRPr="0026343C" w:rsidRDefault="00863BA2" w:rsidP="00863BA2">
      <w:pPr>
        <w:tabs>
          <w:tab w:val="left" w:pos="4815"/>
        </w:tabs>
        <w:spacing w:after="0"/>
        <w:ind w:firstLine="360"/>
        <w:rPr>
          <w:rFonts w:asciiTheme="majorBidi" w:hAnsiTheme="majorBidi" w:cstheme="majorBidi"/>
          <w:sz w:val="32"/>
          <w:szCs w:val="32"/>
        </w:rPr>
      </w:pPr>
      <w:r w:rsidRPr="0026343C">
        <w:rPr>
          <w:rFonts w:asciiTheme="majorBidi" w:hAnsiTheme="majorBidi" w:cstheme="majorBidi"/>
          <w:sz w:val="32"/>
          <w:szCs w:val="32"/>
          <w:cs/>
        </w:rPr>
        <w:t>ค.  ท่าเช็ดมือ</w:t>
      </w:r>
      <w:r w:rsidRPr="0026343C">
        <w:rPr>
          <w:rFonts w:asciiTheme="majorBidi" w:hAnsiTheme="majorBidi" w:cstheme="majorBidi"/>
          <w:sz w:val="32"/>
          <w:szCs w:val="32"/>
        </w:rPr>
        <w:tab/>
      </w:r>
    </w:p>
    <w:p w:rsidR="00863BA2" w:rsidRDefault="00863BA2" w:rsidP="00863BA2">
      <w:pPr>
        <w:spacing w:after="0"/>
        <w:ind w:firstLine="360"/>
        <w:rPr>
          <w:rFonts w:asciiTheme="majorBidi" w:hAnsiTheme="majorBidi" w:cstheme="majorBidi"/>
          <w:color w:val="FF0000"/>
          <w:sz w:val="32"/>
          <w:szCs w:val="32"/>
        </w:rPr>
      </w:pPr>
      <w:r w:rsidRPr="00513084">
        <w:rPr>
          <w:rFonts w:asciiTheme="majorBidi" w:hAnsiTheme="majorBidi" w:cstheme="majorBidi"/>
          <w:color w:val="FF0000"/>
          <w:sz w:val="32"/>
          <w:szCs w:val="32"/>
          <w:cs/>
        </w:rPr>
        <w:t>ง.  ท่าบอกลา</w:t>
      </w:r>
    </w:p>
    <w:p w:rsidR="00863BA2" w:rsidRPr="00863BA2" w:rsidRDefault="00863BA2" w:rsidP="00863BA2">
      <w:pPr>
        <w:rPr>
          <w:rFonts w:asciiTheme="majorBidi" w:hAnsiTheme="majorBidi" w:cstheme="majorBidi" w:hint="cs"/>
          <w:b/>
          <w:bCs/>
          <w:sz w:val="36"/>
          <w:szCs w:val="36"/>
        </w:rPr>
      </w:pPr>
      <w:bookmarkStart w:id="0" w:name="_GoBack"/>
      <w:bookmarkEnd w:id="0"/>
    </w:p>
    <w:sectPr w:rsidR="00863BA2" w:rsidRPr="00863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A2"/>
    <w:rsid w:val="00845476"/>
    <w:rsid w:val="008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BB1B0-94D2-47A2-B20E-87E14A68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2017-06-27T07:47:00Z</dcterms:created>
  <dcterms:modified xsi:type="dcterms:W3CDTF">2017-06-27T07:48:00Z</dcterms:modified>
</cp:coreProperties>
</file>